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F" w:rsidRPr="00BC2776" w:rsidRDefault="00E93ABF" w:rsidP="00006309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C2776">
        <w:rPr>
          <w:rFonts w:ascii="方正小标宋简体" w:eastAsia="方正小标宋简体" w:hAnsi="宋体" w:cs="宋体" w:hint="eastAsia"/>
          <w:kern w:val="0"/>
          <w:sz w:val="44"/>
          <w:szCs w:val="44"/>
        </w:rPr>
        <w:t>面向国家和地方重大需求的基础前沿交叉</w:t>
      </w:r>
    </w:p>
    <w:p w:rsidR="00E93ABF" w:rsidRPr="00BC2776" w:rsidRDefault="00E93ABF" w:rsidP="00006309">
      <w:pPr>
        <w:snapToGrid w:val="0"/>
        <w:jc w:val="center"/>
        <w:rPr>
          <w:rStyle w:val="a3"/>
          <w:rFonts w:ascii="方正小标宋简体" w:eastAsia="方正小标宋简体" w:hAnsi="黑体" w:cs="Arial"/>
          <w:color w:val="2B2B2B"/>
          <w:sz w:val="44"/>
          <w:szCs w:val="44"/>
          <w:shd w:val="clear" w:color="auto" w:fill="FFFFFF"/>
        </w:rPr>
      </w:pPr>
      <w:r w:rsidRPr="00BC2776">
        <w:rPr>
          <w:rFonts w:ascii="方正小标宋简体" w:eastAsia="方正小标宋简体" w:hAnsi="宋体" w:cs="宋体" w:hint="eastAsia"/>
          <w:kern w:val="0"/>
          <w:sz w:val="44"/>
          <w:szCs w:val="44"/>
        </w:rPr>
        <w:t>研究领域（仅供参考）</w:t>
      </w:r>
    </w:p>
    <w:p w:rsidR="00E93ABF" w:rsidRPr="00E93ABF" w:rsidRDefault="00E93ABF" w:rsidP="00B30B35">
      <w:pPr>
        <w:widowControl/>
        <w:shd w:val="clear" w:color="auto" w:fill="FFFFFF"/>
        <w:spacing w:beforeLines="100"/>
        <w:ind w:firstLineChars="221" w:firstLine="707"/>
        <w:rPr>
          <w:rStyle w:val="a3"/>
          <w:rFonts w:ascii="黑体" w:eastAsia="黑体" w:hAnsi="黑体" w:cs="Arial"/>
          <w:b w:val="0"/>
          <w:color w:val="2B2B2B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Cs w:val="32"/>
          <w:shd w:val="clear" w:color="auto" w:fill="FFFFFF"/>
        </w:rPr>
        <w:t>一、《</w:t>
      </w:r>
      <w:r w:rsidR="00606AC1" w:rsidRPr="00606AC1">
        <w:rPr>
          <w:rStyle w:val="a3"/>
          <w:rFonts w:ascii="黑体" w:eastAsia="黑体" w:hAnsi="黑体" w:cs="Arial" w:hint="eastAsia"/>
          <w:b w:val="0"/>
          <w:szCs w:val="32"/>
          <w:shd w:val="clear" w:color="auto" w:fill="FFFFFF"/>
        </w:rPr>
        <w:t>“</w:t>
      </w:r>
      <w:r w:rsidRPr="00E93ABF">
        <w:rPr>
          <w:rStyle w:val="a3"/>
          <w:rFonts w:ascii="黑体" w:eastAsia="黑体" w:hAnsi="黑体" w:cs="Arial" w:hint="eastAsia"/>
          <w:b w:val="0"/>
          <w:szCs w:val="32"/>
          <w:shd w:val="clear" w:color="auto" w:fill="FFFFFF"/>
        </w:rPr>
        <w:t>十三五”国家科技创新规划</w:t>
      </w:r>
      <w:r w:rsidRPr="00E93ABF">
        <w:rPr>
          <w:rStyle w:val="a3"/>
          <w:rFonts w:ascii="黑体" w:eastAsia="黑体" w:hAnsi="黑体" w:cs="Arial" w:hint="eastAsia"/>
          <w:b w:val="0"/>
          <w:color w:val="2B2B2B"/>
          <w:szCs w:val="32"/>
          <w:shd w:val="clear" w:color="auto" w:fill="FFFFFF"/>
        </w:rPr>
        <w:t>》</w:t>
      </w:r>
      <w:r w:rsidRPr="00E93ABF">
        <w:rPr>
          <w:rStyle w:val="a3"/>
          <w:rFonts w:ascii="黑体" w:eastAsia="黑体" w:hAnsi="黑体" w:cs="Arial" w:hint="eastAsia"/>
          <w:b w:val="0"/>
          <w:szCs w:val="32"/>
          <w:shd w:val="clear" w:color="auto" w:fill="FFFFFF"/>
        </w:rPr>
        <w:t>中基础前沿领域</w:t>
      </w:r>
    </w:p>
    <w:p w:rsidR="00606AC1" w:rsidRDefault="00E93ABF" w:rsidP="00006309">
      <w:pPr>
        <w:widowControl/>
        <w:ind w:firstLineChars="221" w:firstLine="710"/>
        <w:rPr>
          <w:rFonts w:ascii="仿宋_GB2312"/>
          <w:color w:val="444444"/>
          <w:kern w:val="0"/>
          <w:szCs w:val="32"/>
        </w:rPr>
      </w:pPr>
      <w:r w:rsidRPr="00BC2776">
        <w:rPr>
          <w:rFonts w:ascii="仿宋_GB2312" w:hAnsi="楷体" w:hint="eastAsia"/>
          <w:b/>
          <w:color w:val="444444"/>
          <w:kern w:val="0"/>
          <w:szCs w:val="32"/>
        </w:rPr>
        <w:t>（一）重大科技项目：</w:t>
      </w:r>
      <w:r w:rsidRPr="00BC2776">
        <w:rPr>
          <w:rFonts w:ascii="仿宋_GB2312" w:hAnsi="楷体" w:hint="eastAsia"/>
          <w:color w:val="444444"/>
          <w:kern w:val="0"/>
          <w:szCs w:val="32"/>
        </w:rPr>
        <w:t>1.航空发动机及燃气轮机；2.深海空间站；3.量子通信与量子计算机；4.脑科学与类脑研究；5.国家网络空间安全；6.深空探测及空间飞行器在</w:t>
      </w:r>
      <w:proofErr w:type="gramStart"/>
      <w:r w:rsidRPr="00BC2776">
        <w:rPr>
          <w:rFonts w:ascii="仿宋_GB2312" w:hAnsi="楷体" w:hint="eastAsia"/>
          <w:color w:val="444444"/>
          <w:kern w:val="0"/>
          <w:szCs w:val="32"/>
        </w:rPr>
        <w:t>轨服务</w:t>
      </w:r>
      <w:proofErr w:type="gramEnd"/>
      <w:r w:rsidRPr="00BC2776">
        <w:rPr>
          <w:rFonts w:ascii="仿宋_GB2312" w:hAnsi="楷体" w:hint="eastAsia"/>
          <w:color w:val="444444"/>
          <w:kern w:val="0"/>
          <w:szCs w:val="32"/>
        </w:rPr>
        <w:t>与维护系统。</w:t>
      </w:r>
    </w:p>
    <w:p w:rsidR="00E93ABF" w:rsidRPr="00606AC1" w:rsidRDefault="00E93ABF" w:rsidP="00006309">
      <w:pPr>
        <w:widowControl/>
        <w:ind w:firstLineChars="221" w:firstLine="710"/>
        <w:rPr>
          <w:rFonts w:ascii="仿宋_GB2312"/>
          <w:color w:val="444444"/>
          <w:kern w:val="0"/>
          <w:szCs w:val="32"/>
        </w:rPr>
      </w:pPr>
      <w:r w:rsidRPr="00BC2776">
        <w:rPr>
          <w:rFonts w:ascii="仿宋_GB2312" w:hAnsi="楷体" w:hint="eastAsia"/>
          <w:b/>
          <w:color w:val="444444"/>
          <w:kern w:val="0"/>
          <w:szCs w:val="32"/>
        </w:rPr>
        <w:t>（二）重大工程：</w:t>
      </w:r>
      <w:r w:rsidRPr="00BC2776">
        <w:rPr>
          <w:rFonts w:ascii="仿宋_GB2312" w:hAnsi="楷体" w:hint="eastAsia"/>
          <w:color w:val="444444"/>
          <w:kern w:val="0"/>
          <w:szCs w:val="32"/>
        </w:rPr>
        <w:t>1.种业自主创新；2.煤炭清洁高效利用；3.智能电网；4.天地一体化信息网络；5.大数据；6.智能制造和机器人；7.重点新材料研发及应用；8.京津</w:t>
      </w:r>
      <w:proofErr w:type="gramStart"/>
      <w:r w:rsidRPr="00BC2776">
        <w:rPr>
          <w:rFonts w:ascii="仿宋_GB2312" w:hAnsi="楷体" w:hint="eastAsia"/>
          <w:color w:val="444444"/>
          <w:kern w:val="0"/>
          <w:szCs w:val="32"/>
        </w:rPr>
        <w:t>冀环境</w:t>
      </w:r>
      <w:proofErr w:type="gramEnd"/>
      <w:r w:rsidRPr="00BC2776">
        <w:rPr>
          <w:rFonts w:ascii="仿宋_GB2312" w:hAnsi="楷体" w:hint="eastAsia"/>
          <w:color w:val="444444"/>
          <w:kern w:val="0"/>
          <w:szCs w:val="32"/>
        </w:rPr>
        <w:t>综合治理；9.健康保障。</w:t>
      </w:r>
    </w:p>
    <w:p w:rsidR="00E93ABF" w:rsidRPr="001147FA" w:rsidRDefault="00E93ABF" w:rsidP="00006309">
      <w:pPr>
        <w:widowControl/>
        <w:ind w:firstLineChars="221" w:firstLine="710"/>
        <w:rPr>
          <w:rFonts w:ascii="仿宋_GB2312" w:hAnsi="Arial" w:cs="Arial"/>
          <w:color w:val="2B2B2B"/>
          <w:szCs w:val="32"/>
        </w:rPr>
      </w:pPr>
      <w:r w:rsidRPr="00BC2776">
        <w:rPr>
          <w:rFonts w:ascii="仿宋_GB2312" w:hAnsi="楷体" w:hint="eastAsia"/>
          <w:b/>
          <w:color w:val="444444"/>
          <w:kern w:val="0"/>
          <w:szCs w:val="32"/>
        </w:rPr>
        <w:t>（三）战略性前瞻性重大科学问题：</w:t>
      </w:r>
      <w:r w:rsidRPr="00BC2776">
        <w:rPr>
          <w:rFonts w:ascii="仿宋_GB2312" w:hAnsi="Arial" w:cs="Arial" w:hint="eastAsia"/>
          <w:color w:val="2B2B2B"/>
          <w:szCs w:val="32"/>
        </w:rPr>
        <w:t>1.纳米科技；2.量子调控与量子信息；3.蛋白质机器与生命过程调控；4.干细胞及转化；5.依托大科学装置的前沿研究；6.全球变化及应对；7.发育的遗传与环境调控；8.合成生物学；9.基因编辑；10.深海、深地、深空、深蓝科学研究；11.物质深层次结构和宇宙大尺度物理研究；12.核心数学及应用数学；13.磁约束核聚变能发展。</w:t>
      </w:r>
    </w:p>
    <w:p w:rsidR="00E93ABF" w:rsidRPr="00E93ABF" w:rsidRDefault="00E93ABF" w:rsidP="00006309">
      <w:pPr>
        <w:widowControl/>
        <w:shd w:val="clear" w:color="auto" w:fill="FFFFFF"/>
        <w:ind w:firstLineChars="221" w:firstLine="707"/>
        <w:rPr>
          <w:rStyle w:val="a3"/>
          <w:rFonts w:ascii="黑体" w:eastAsia="黑体" w:hAnsi="黑体" w:cs="Arial"/>
          <w:b w:val="0"/>
          <w:color w:val="2B2B2B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Cs w:val="32"/>
          <w:shd w:val="clear" w:color="auto" w:fill="FFFFFF"/>
        </w:rPr>
        <w:t>二、《国家中长期科技发展规划》中基础前沿领域</w:t>
      </w:r>
    </w:p>
    <w:p w:rsidR="00E93ABF" w:rsidRPr="00BC2776" w:rsidRDefault="00E93ABF" w:rsidP="00006309">
      <w:pPr>
        <w:widowControl/>
        <w:shd w:val="clear" w:color="auto" w:fill="FFFFFF"/>
        <w:ind w:firstLineChars="221" w:firstLine="710"/>
        <w:rPr>
          <w:rStyle w:val="a3"/>
          <w:rFonts w:ascii="仿宋_GB2312" w:hAnsi="黑体" w:cs="Arial"/>
          <w:color w:val="2B2B2B"/>
          <w:szCs w:val="32"/>
          <w:shd w:val="clear" w:color="auto" w:fill="FFFFFF"/>
        </w:rPr>
      </w:pPr>
      <w:r w:rsidRPr="00BC2776">
        <w:rPr>
          <w:rFonts w:ascii="仿宋_GB2312" w:hAnsi="楷体" w:hint="eastAsia"/>
          <w:b/>
          <w:bCs/>
          <w:color w:val="444444"/>
          <w:kern w:val="0"/>
          <w:szCs w:val="32"/>
        </w:rPr>
        <w:t>（一）科学前沿问题：</w:t>
      </w:r>
      <w:r w:rsidRPr="00BC2776">
        <w:rPr>
          <w:rFonts w:ascii="仿宋_GB2312" w:hAnsi="楷体" w:hint="eastAsia"/>
          <w:color w:val="444444"/>
          <w:kern w:val="0"/>
          <w:szCs w:val="32"/>
        </w:rPr>
        <w:t>1.生命过程的定量研究和系统整合；2.凝聚态物质与新效应；</w:t>
      </w:r>
      <w:r w:rsidRPr="00BC2776">
        <w:rPr>
          <w:rFonts w:ascii="仿宋_GB2312" w:hint="eastAsia"/>
          <w:szCs w:val="32"/>
        </w:rPr>
        <w:t>3.物质深层次结构和宇宙大尺度</w:t>
      </w:r>
      <w:r w:rsidRPr="00BC2776">
        <w:rPr>
          <w:rFonts w:ascii="仿宋_GB2312" w:hint="eastAsia"/>
          <w:szCs w:val="32"/>
        </w:rPr>
        <w:lastRenderedPageBreak/>
        <w:t>物理学规律；4.核心数学及其在交叉领域的应用；5.地球系统过程与资源、环境和灾害效应；6.新物质创造与转化的化学过程；7.脑科学与认知科学；8.科学实验与观测方法、技术和设备的创新。</w:t>
      </w:r>
    </w:p>
    <w:p w:rsidR="00E93ABF" w:rsidRPr="00BC2776" w:rsidRDefault="00E93ABF" w:rsidP="00006309">
      <w:pPr>
        <w:widowControl/>
        <w:shd w:val="clear" w:color="auto" w:fill="FFFFFF"/>
        <w:ind w:firstLineChars="221" w:firstLine="710"/>
        <w:rPr>
          <w:rFonts w:ascii="仿宋_GB2312"/>
          <w:szCs w:val="32"/>
        </w:rPr>
      </w:pPr>
      <w:r w:rsidRPr="00BC2776">
        <w:rPr>
          <w:rStyle w:val="a3"/>
          <w:rFonts w:ascii="仿宋_GB2312" w:hAnsi="黑体" w:cs="Arial" w:hint="eastAsia"/>
          <w:color w:val="2B2B2B"/>
          <w:szCs w:val="32"/>
          <w:shd w:val="clear" w:color="auto" w:fill="FFFFFF"/>
        </w:rPr>
        <w:t>（二）面向国家重大战略需求的基础研究：</w:t>
      </w:r>
      <w:r w:rsidRPr="00BC2776">
        <w:rPr>
          <w:rFonts w:ascii="仿宋_GB2312" w:hint="eastAsia"/>
          <w:szCs w:val="32"/>
        </w:rPr>
        <w:t>1.人类健康与疾病的生物学基础；2.农业生物遗传改良和农业可持续发展中的科学问题；3.人类活动对地球系统的影响机制；4.全球变化与区域响应；5.复杂系统、灾变形成及其预测控制；6.能源可持续发展中的关键科学问题；7.材料设计与制备的新原理与新方法；8.极端环境条件下制造的科学基础；9.航空航天重大力学问题；10.支撑信息技术发展的科学基础。</w:t>
      </w:r>
    </w:p>
    <w:p w:rsidR="00E93ABF" w:rsidRPr="00E93ABF" w:rsidRDefault="00E93ABF" w:rsidP="00006309">
      <w:pPr>
        <w:widowControl/>
        <w:shd w:val="clear" w:color="auto" w:fill="FFFFFF"/>
        <w:ind w:firstLineChars="221" w:firstLine="707"/>
        <w:rPr>
          <w:rStyle w:val="a3"/>
          <w:rFonts w:ascii="黑体" w:eastAsia="黑体" w:hAnsi="黑体" w:cs="Arial"/>
          <w:b w:val="0"/>
          <w:color w:val="2B2B2B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Cs w:val="32"/>
          <w:shd w:val="clear" w:color="auto" w:fill="FFFFFF"/>
        </w:rPr>
        <w:t>三、《中国制造2025》中基础前沿领域</w:t>
      </w:r>
    </w:p>
    <w:p w:rsidR="00E93ABF" w:rsidRPr="00BC2776" w:rsidRDefault="00E93ABF" w:rsidP="00006309">
      <w:pPr>
        <w:widowControl/>
        <w:shd w:val="clear" w:color="auto" w:fill="FFFFFF"/>
        <w:ind w:firstLineChars="221" w:firstLine="707"/>
        <w:rPr>
          <w:rFonts w:ascii="仿宋_GB2312"/>
          <w:szCs w:val="32"/>
        </w:rPr>
      </w:pPr>
      <w:r w:rsidRPr="00BC2776">
        <w:rPr>
          <w:rFonts w:ascii="仿宋_GB2312" w:hint="eastAsia"/>
          <w:color w:val="333333"/>
          <w:shd w:val="clear" w:color="auto" w:fill="FFFFFF"/>
        </w:rPr>
        <w:t>1.新一代信息技术产业；2.高档数控机床和机器人；3.航空航天装备；4.海洋工程装备及高技术船舶；5.先进轨道交通装备；6.节能与新能源汽车；7.电力装备；8.农机装备；9.新材料；10.生物医药及高性能医疗器械。</w:t>
      </w:r>
    </w:p>
    <w:p w:rsidR="00E93ABF" w:rsidRPr="00E93ABF" w:rsidRDefault="00E93ABF" w:rsidP="00006309">
      <w:pPr>
        <w:widowControl/>
        <w:shd w:val="clear" w:color="auto" w:fill="FFFFFF"/>
        <w:ind w:firstLineChars="221" w:firstLine="707"/>
        <w:rPr>
          <w:rStyle w:val="a3"/>
          <w:rFonts w:ascii="黑体" w:eastAsia="黑体" w:hAnsi="黑体" w:cs="Arial"/>
          <w:b w:val="0"/>
          <w:color w:val="2B2B2B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Cs w:val="32"/>
          <w:shd w:val="clear" w:color="auto" w:fill="FFFFFF"/>
        </w:rPr>
        <w:t>四、《国务院新一代人工智能发展规划》中基础前沿领域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t>（一）基础理论：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1.大数据智能理论；2.跨媒体感知计算理论；3.混合增强智能理论；4.群体智能理论；5.自主协同控制与优化决策理论；6.高级机器学习理论；7.类脑智能计算理论；8.量子智能计算理论。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lastRenderedPageBreak/>
        <w:t>（二）关键共性技术：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知识计算引擎与知识服务技术；2.跨媒体分析推理技术；3.群体智能关键技术；4.混合增强智能新架构和新技术；5.自主无人系统的智能技术；6.虚拟现实智能建模技术；7.智能计算芯片与系统；8.自然语言处理技术。</w:t>
      </w:r>
    </w:p>
    <w:p w:rsidR="00E93ABF" w:rsidRPr="00E93ABF" w:rsidRDefault="00E93ABF" w:rsidP="00006309">
      <w:pPr>
        <w:widowControl/>
        <w:shd w:val="clear" w:color="auto" w:fill="FFFFFF"/>
        <w:ind w:firstLineChars="221" w:firstLine="707"/>
        <w:rPr>
          <w:rStyle w:val="a3"/>
          <w:rFonts w:ascii="黑体" w:eastAsia="黑体" w:hAnsi="黑体"/>
          <w:b w:val="0"/>
          <w:shd w:val="clear" w:color="auto" w:fill="FFFFFF"/>
        </w:rPr>
      </w:pPr>
      <w:r w:rsidRPr="00E93ABF">
        <w:rPr>
          <w:rStyle w:val="a3"/>
          <w:rFonts w:ascii="黑体" w:eastAsia="黑体" w:hAnsi="黑体" w:hint="eastAsia"/>
          <w:b w:val="0"/>
          <w:shd w:val="clear" w:color="auto" w:fill="FFFFFF"/>
        </w:rPr>
        <w:t>五、《重庆市科技创新“十三五”规划》中基础前沿领域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07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1.先进制造技术；2.新一代信息技术；3.大健康技术；4.新材料技术；5.新能源技术；6.现代农业技术；7.生态环保技术；8.新型城镇化技术；9.公共安全技术。</w:t>
      </w:r>
    </w:p>
    <w:p w:rsidR="00E93ABF" w:rsidRPr="00E93ABF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07"/>
        <w:jc w:val="both"/>
        <w:rPr>
          <w:rStyle w:val="a3"/>
          <w:rFonts w:ascii="黑体" w:eastAsia="黑体" w:hAnsi="黑体" w:cs="Arial"/>
          <w:b w:val="0"/>
          <w:color w:val="2B2B2B"/>
          <w:sz w:val="32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 w:val="32"/>
          <w:szCs w:val="32"/>
          <w:shd w:val="clear" w:color="auto" w:fill="FFFFFF"/>
        </w:rPr>
        <w:t>六、《重庆市以大数据智能化为引领的创新驱动发展战略行动计划》中基础前沿领域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07"/>
        <w:jc w:val="both"/>
        <w:rPr>
          <w:rFonts w:ascii="仿宋_GB2312" w:eastAsia="仿宋_GB2312" w:hAnsi="Arial"/>
          <w:b/>
          <w:bCs/>
        </w:rPr>
      </w:pP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1.大数据；2.人工智能；3.集成电路；4.智能超算；5.软件服务；6物联网；7汽车电子；8智能机器人；9智能硬件；10智能网联汽车；11智能制造装备；12.数字内容。</w:t>
      </w:r>
    </w:p>
    <w:p w:rsidR="00E93ABF" w:rsidRPr="00E93ABF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07"/>
        <w:jc w:val="both"/>
        <w:rPr>
          <w:rStyle w:val="a3"/>
          <w:rFonts w:ascii="黑体" w:eastAsia="黑体" w:hAnsi="黑体" w:cs="Arial"/>
          <w:b w:val="0"/>
          <w:color w:val="2B2B2B"/>
          <w:sz w:val="32"/>
          <w:szCs w:val="32"/>
          <w:shd w:val="clear" w:color="auto" w:fill="FFFFFF"/>
        </w:rPr>
      </w:pPr>
      <w:r w:rsidRPr="00E93ABF">
        <w:rPr>
          <w:rStyle w:val="a3"/>
          <w:rFonts w:ascii="黑体" w:eastAsia="黑体" w:hAnsi="黑体" w:cs="Arial" w:hint="eastAsia"/>
          <w:b w:val="0"/>
          <w:color w:val="2B2B2B"/>
          <w:sz w:val="32"/>
          <w:szCs w:val="32"/>
          <w:shd w:val="clear" w:color="auto" w:fill="FFFFFF"/>
        </w:rPr>
        <w:t>七、2018年重庆市科委重点支持基础前沿领域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t>（一）基础研究与前沿探索类：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1.现代农业领域；2.人口与健康领域；3.生物医药领域；4.电子信息领域；5.先进制造与工程领域；6.材料领域；7.能源领域</w:t>
      </w:r>
      <w:bookmarkStart w:id="0" w:name="_Toc272057301"/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；8.资源环境领域</w:t>
      </w:r>
      <w:bookmarkEnd w:id="0"/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；9.综合交叉领域。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t>（二）技术创新与应用示范（产业类）：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1.人工智能；2.先进制造；3.新一代信息技术；4.新材料；5.新能源；6.生物医药；7.节能环保；8.现代农业等。</w:t>
      </w:r>
    </w:p>
    <w:p w:rsidR="00E93ABF" w:rsidRPr="00BC2776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lastRenderedPageBreak/>
        <w:t>（三）技术创新与应用示范（社会民生类）：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1.生态环保；2.人口健康；3.交通城建；4.公共安全；5.农业农村等。</w:t>
      </w:r>
    </w:p>
    <w:p w:rsidR="002245C3" w:rsidRPr="00490E02" w:rsidRDefault="00E93ABF" w:rsidP="00006309">
      <w:pPr>
        <w:pStyle w:val="a4"/>
        <w:shd w:val="clear" w:color="auto" w:fill="FFFFFF"/>
        <w:spacing w:before="0" w:beforeAutospacing="0" w:after="0" w:afterAutospacing="0"/>
        <w:ind w:leftChars="-1" w:left="-3" w:firstLineChars="221" w:firstLine="710"/>
        <w:jc w:val="both"/>
        <w:rPr>
          <w:rFonts w:ascii="仿宋_GB2312" w:eastAsia="仿宋_GB2312" w:hAnsi="Arial" w:cs="Arial"/>
          <w:color w:val="2B2B2B"/>
          <w:sz w:val="32"/>
          <w:szCs w:val="32"/>
        </w:rPr>
      </w:pPr>
      <w:r w:rsidRPr="00BC2776">
        <w:rPr>
          <w:rFonts w:ascii="仿宋_GB2312" w:eastAsia="仿宋_GB2312" w:hAnsi="Arial" w:cs="Arial" w:hint="eastAsia"/>
          <w:b/>
          <w:color w:val="2B2B2B"/>
          <w:sz w:val="32"/>
          <w:szCs w:val="32"/>
        </w:rPr>
        <w:t>（四）技术创新与应用示范（重大主题专项类）：</w:t>
      </w:r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 xml:space="preserve"> 1.人工智能领域（包括人工智能、</w:t>
      </w:r>
      <w:proofErr w:type="gramStart"/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云计算</w:t>
      </w:r>
      <w:proofErr w:type="gramEnd"/>
      <w:r w:rsidRPr="00BC2776">
        <w:rPr>
          <w:rFonts w:ascii="仿宋_GB2312" w:eastAsia="仿宋_GB2312" w:hAnsi="Arial" w:cs="Arial" w:hint="eastAsia"/>
          <w:color w:val="2B2B2B"/>
          <w:sz w:val="32"/>
          <w:szCs w:val="32"/>
        </w:rPr>
        <w:t>与大数据、智能机器人、物联网等方向）；2.新能源汽车领域。</w:t>
      </w:r>
    </w:p>
    <w:sectPr w:rsidR="002245C3" w:rsidRPr="00490E02" w:rsidSect="00490E02">
      <w:headerReference w:type="default" r:id="rId6"/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B5" w:rsidRDefault="003439B5" w:rsidP="00351EAC">
      <w:r>
        <w:separator/>
      </w:r>
    </w:p>
  </w:endnote>
  <w:endnote w:type="continuationSeparator" w:id="0">
    <w:p w:rsidR="003439B5" w:rsidRDefault="003439B5" w:rsidP="0035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222456"/>
      <w:docPartObj>
        <w:docPartGallery w:val="Page Numbers (Bottom of Page)"/>
        <w:docPartUnique/>
      </w:docPartObj>
    </w:sdtPr>
    <w:sdtContent>
      <w:p w:rsidR="00351EAC" w:rsidRPr="00351EAC" w:rsidRDefault="00CC3A79">
        <w:pPr>
          <w:pStyle w:val="a6"/>
          <w:jc w:val="center"/>
          <w:rPr>
            <w:sz w:val="24"/>
            <w:szCs w:val="24"/>
          </w:rPr>
        </w:pPr>
        <w:r w:rsidRPr="00351EAC">
          <w:rPr>
            <w:sz w:val="24"/>
            <w:szCs w:val="24"/>
          </w:rPr>
          <w:fldChar w:fldCharType="begin"/>
        </w:r>
        <w:r w:rsidR="00351EAC" w:rsidRPr="00351EAC">
          <w:rPr>
            <w:sz w:val="24"/>
            <w:szCs w:val="24"/>
          </w:rPr>
          <w:instrText xml:space="preserve"> PAGE   \* MERGEFORMAT </w:instrText>
        </w:r>
        <w:r w:rsidRPr="00351EAC">
          <w:rPr>
            <w:sz w:val="24"/>
            <w:szCs w:val="24"/>
          </w:rPr>
          <w:fldChar w:fldCharType="separate"/>
        </w:r>
        <w:r w:rsidR="00B30B35" w:rsidRPr="00B30B35">
          <w:rPr>
            <w:noProof/>
            <w:sz w:val="24"/>
            <w:szCs w:val="24"/>
            <w:lang w:val="zh-CN"/>
          </w:rPr>
          <w:t>4</w:t>
        </w:r>
        <w:r w:rsidRPr="00351EAC">
          <w:rPr>
            <w:sz w:val="24"/>
            <w:szCs w:val="24"/>
          </w:rPr>
          <w:fldChar w:fldCharType="end"/>
        </w:r>
      </w:p>
    </w:sdtContent>
  </w:sdt>
  <w:p w:rsidR="00351EAC" w:rsidRDefault="00351E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B5" w:rsidRDefault="003439B5" w:rsidP="00351EAC">
      <w:r>
        <w:separator/>
      </w:r>
    </w:p>
  </w:footnote>
  <w:footnote w:type="continuationSeparator" w:id="0">
    <w:p w:rsidR="003439B5" w:rsidRDefault="003439B5" w:rsidP="0035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 w:rsidP="00490E0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ABF"/>
    <w:rsid w:val="00006309"/>
    <w:rsid w:val="001D7FC8"/>
    <w:rsid w:val="00232FA3"/>
    <w:rsid w:val="00294FBC"/>
    <w:rsid w:val="003439B5"/>
    <w:rsid w:val="00351EAC"/>
    <w:rsid w:val="00367CCD"/>
    <w:rsid w:val="003E2F9F"/>
    <w:rsid w:val="00490E02"/>
    <w:rsid w:val="005C264C"/>
    <w:rsid w:val="00606AC1"/>
    <w:rsid w:val="007E67CD"/>
    <w:rsid w:val="00802A4C"/>
    <w:rsid w:val="00A02C6A"/>
    <w:rsid w:val="00B30B35"/>
    <w:rsid w:val="00C57411"/>
    <w:rsid w:val="00CC3A79"/>
    <w:rsid w:val="00E93ABF"/>
    <w:rsid w:val="00ED5667"/>
    <w:rsid w:val="00F0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F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BF"/>
    <w:rPr>
      <w:b/>
      <w:bCs/>
    </w:rPr>
  </w:style>
  <w:style w:type="paragraph" w:styleId="a4">
    <w:name w:val="Normal (Web)"/>
    <w:basedOn w:val="a"/>
    <w:uiPriority w:val="99"/>
    <w:unhideWhenUsed/>
    <w:rsid w:val="00E93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5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EAC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1EAC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1451</Characters>
  <Application>Microsoft Office Word</Application>
  <DocSecurity>0</DocSecurity>
  <Lines>12</Lines>
  <Paragraphs>3</Paragraphs>
  <ScaleCrop>false</ScaleCrop>
  <Company>china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罗璟</dc:creator>
  <cp:lastModifiedBy>罗璟</cp:lastModifiedBy>
  <cp:revision>2</cp:revision>
  <dcterms:created xsi:type="dcterms:W3CDTF">2018-04-28T06:57:00Z</dcterms:created>
  <dcterms:modified xsi:type="dcterms:W3CDTF">2018-04-28T06:57:00Z</dcterms:modified>
</cp:coreProperties>
</file>